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D9" w:rsidRPr="00C759D9" w:rsidRDefault="00C759D9" w:rsidP="00C759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6F5522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к проекту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Воткинска </w:t>
      </w:r>
      <w:r w:rsidR="006F5522" w:rsidRPr="006F5522">
        <w:rPr>
          <w:rFonts w:ascii="Times New Roman" w:eastAsia="Times New Roman" w:hAnsi="Times New Roman" w:cs="Times New Roman"/>
          <w:sz w:val="28"/>
          <w:szCs w:val="28"/>
        </w:rPr>
        <w:t>от 06.12.2019 № 2055 «Об утверждении муниципальной программы муниципального образования «Город Воткинск» «Гармонизация межнациональных отношений, профилактика терроризма и экстремизма на  2020-2024 годы»</w:t>
      </w:r>
      <w:r w:rsidR="006F552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759D9" w:rsidRPr="00C759D9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бюджетного планирования и муниципального управления, в связи с формированием бюджета муниципального образования «Город Воткинск» на 2023 год и на плановый период 2024-2025 годов срок реализации муниципальной программы продлен до 2025 года.</w:t>
      </w:r>
    </w:p>
    <w:p w:rsidR="00C759D9" w:rsidRPr="00C759D9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>Объем бюджетного финансирования на 2025 год заложен в пределах 2024 года (Приложения 5,6 к программе).</w:t>
      </w:r>
    </w:p>
    <w:p w:rsidR="00C759D9" w:rsidRPr="00C759D9" w:rsidRDefault="00C759D9" w:rsidP="00C75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Общий объем бюджетного финансирования на реализацию муниципальной программы за 2020-2025 годы составит </w:t>
      </w:r>
      <w:r w:rsidR="006F5522">
        <w:rPr>
          <w:rFonts w:ascii="Times New Roman" w:eastAsia="Times New Roman" w:hAnsi="Times New Roman" w:cs="Times New Roman"/>
          <w:sz w:val="28"/>
          <w:szCs w:val="28"/>
        </w:rPr>
        <w:t>130,6</w:t>
      </w: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E16311" w:rsidRDefault="00E16311"/>
    <w:sectPr w:rsidR="00E16311" w:rsidSect="006C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59D9"/>
    <w:rsid w:val="006C3B01"/>
    <w:rsid w:val="006F5522"/>
    <w:rsid w:val="00C759D9"/>
    <w:rsid w:val="00E1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2022-06-28T09:49:00Z</dcterms:created>
  <dcterms:modified xsi:type="dcterms:W3CDTF">2022-06-28T09:57:00Z</dcterms:modified>
</cp:coreProperties>
</file>